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2C" w:rsidRPr="002859E6" w:rsidRDefault="00263267" w:rsidP="001D192C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 w:rsidR="001D192C" w:rsidRPr="002859E6">
        <w:rPr>
          <w:rFonts w:ascii="StobiSerif Regular" w:hAnsi="StobiSerif Regular" w:cs="Arial"/>
          <w:sz w:val="22"/>
          <w:szCs w:val="22"/>
        </w:rPr>
        <w:t xml:space="preserve">                 </w:t>
      </w:r>
    </w:p>
    <w:p w:rsidR="001D192C" w:rsidRPr="002859E6" w:rsidRDefault="001D192C" w:rsidP="001D192C">
      <w:pPr>
        <w:rPr>
          <w:rFonts w:ascii="StobiSerif Regular" w:hAnsi="StobiSerif Regular" w:cs="Arial"/>
          <w:sz w:val="22"/>
          <w:szCs w:val="22"/>
          <w:lang w:val="mk-MK"/>
        </w:rPr>
      </w:pPr>
    </w:p>
    <w:p w:rsidR="00975350" w:rsidRDefault="00975350" w:rsidP="00975350">
      <w:pPr>
        <w:rPr>
          <w:rFonts w:ascii="StobiSerif Regular" w:hAnsi="StobiSerif Regular" w:cs="Arial"/>
          <w:b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iCs/>
          <w:sz w:val="22"/>
          <w:szCs w:val="22"/>
          <w:lang w:val="mk-MK"/>
        </w:rPr>
        <w:t>ДО</w:t>
      </w:r>
    </w:p>
    <w:p w:rsidR="00975350" w:rsidRPr="00B03E85" w:rsidRDefault="00F7398D" w:rsidP="00975350">
      <w:pPr>
        <w:rPr>
          <w:rFonts w:ascii="StobiSerif Regular" w:hAnsi="StobiSerif Regular" w:cs="Arial"/>
          <w:b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iCs/>
          <w:sz w:val="22"/>
          <w:szCs w:val="22"/>
          <w:lang w:val="mk-MK"/>
        </w:rPr>
        <w:t>ЦЕНТАР ЗА ЕКОНОМСКИ АНАЛИЗИ - СКОПЈЕ</w:t>
      </w:r>
    </w:p>
    <w:p w:rsidR="0024635C" w:rsidRDefault="00F7398D" w:rsidP="00975350">
      <w:pPr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д</w:t>
      </w:r>
      <w:r w:rsidR="0024635C">
        <w:rPr>
          <w:rFonts w:ascii="StobiSerif Regular" w:hAnsi="StobiSerif Regular" w:cs="Arial"/>
          <w:b/>
          <w:sz w:val="22"/>
          <w:szCs w:val="22"/>
          <w:lang w:val="mk-MK"/>
        </w:rPr>
        <w:t xml:space="preserve">-р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Марјан Николов</w:t>
      </w:r>
      <w:r w:rsidR="0024635C" w:rsidRPr="00110A0E">
        <w:rPr>
          <w:rFonts w:ascii="StobiSerif Regular" w:hAnsi="StobiSerif Regular" w:cs="Arial"/>
          <w:b/>
          <w:sz w:val="22"/>
          <w:szCs w:val="22"/>
          <w:lang w:val="mk-MK"/>
        </w:rPr>
        <w:t>,</w:t>
      </w:r>
      <w:r w:rsidR="009D1DA2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постар експерт</w:t>
      </w:r>
      <w:r w:rsidR="0024635C" w:rsidRPr="00110A0E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B03E85" w:rsidRDefault="00B03E85" w:rsidP="00975350">
      <w:pPr>
        <w:rPr>
          <w:rFonts w:ascii="StobiSerif Regular" w:hAnsi="StobiSerif Regular"/>
          <w:bCs/>
          <w:sz w:val="22"/>
          <w:szCs w:val="22"/>
          <w:lang w:val="ru-RU"/>
        </w:rPr>
      </w:pPr>
    </w:p>
    <w:p w:rsidR="00975350" w:rsidRDefault="00F7398D" w:rsidP="00975350">
      <w:pPr>
        <w:rPr>
          <w:rFonts w:ascii="StobiSerif Regular" w:hAnsi="StobiSerif Regular"/>
          <w:b/>
          <w:bCs/>
          <w:sz w:val="22"/>
          <w:szCs w:val="22"/>
          <w:lang w:val="ru-RU"/>
        </w:rPr>
      </w:pPr>
      <w:r>
        <w:rPr>
          <w:rFonts w:ascii="StobiSerif Regular" w:hAnsi="StobiSerif Regular"/>
          <w:bCs/>
          <w:sz w:val="22"/>
          <w:szCs w:val="22"/>
          <w:lang w:val="ru-RU"/>
        </w:rPr>
        <w:t>Булевар „Јане Сандански“ број 63/3</w:t>
      </w:r>
      <w:r w:rsidR="004049B0" w:rsidRPr="009C1FE5">
        <w:rPr>
          <w:rFonts w:ascii="StobiSerif Regular" w:hAnsi="StobiSerif Regular"/>
          <w:bCs/>
          <w:sz w:val="22"/>
          <w:szCs w:val="22"/>
          <w:lang w:val="ru-RU"/>
        </w:rPr>
        <w:br/>
      </w:r>
      <w:r w:rsidR="00975350">
        <w:rPr>
          <w:rFonts w:ascii="StobiSerif Regular" w:hAnsi="StobiSerif Regular"/>
          <w:b/>
          <w:bCs/>
          <w:sz w:val="22"/>
          <w:szCs w:val="22"/>
          <w:lang w:val="ru-RU"/>
        </w:rPr>
        <w:t>1000 Скопје</w:t>
      </w:r>
    </w:p>
    <w:p w:rsidR="00975350" w:rsidRDefault="00975350" w:rsidP="00975350">
      <w:pPr>
        <w:rPr>
          <w:rFonts w:ascii="StobiSerif Regular" w:hAnsi="StobiSerif Regular"/>
          <w:b/>
          <w:bCs/>
          <w:sz w:val="22"/>
          <w:szCs w:val="22"/>
        </w:rPr>
      </w:pPr>
    </w:p>
    <w:p w:rsidR="00D7574B" w:rsidRPr="00D7574B" w:rsidRDefault="00D7574B" w:rsidP="00975350">
      <w:pPr>
        <w:rPr>
          <w:rFonts w:ascii="StobiSerif Regular" w:hAnsi="StobiSerif Regular"/>
          <w:b/>
          <w:bCs/>
          <w:sz w:val="22"/>
          <w:szCs w:val="22"/>
        </w:rPr>
      </w:pPr>
    </w:p>
    <w:p w:rsidR="008A4E61" w:rsidRDefault="00975350" w:rsidP="0097535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859E6">
        <w:rPr>
          <w:rFonts w:ascii="StobiSerif Regular" w:hAnsi="StobiSerif Regular" w:cs="Arial"/>
          <w:b/>
          <w:sz w:val="22"/>
          <w:szCs w:val="22"/>
          <w:lang w:val="mk-MK"/>
        </w:rPr>
        <w:t xml:space="preserve">Предмет: </w:t>
      </w:r>
      <w:r w:rsidR="005F0E22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bookmarkStart w:id="0" w:name="_GoBack"/>
      <w:bookmarkEnd w:id="0"/>
      <w:r w:rsidR="00F7398D">
        <w:rPr>
          <w:rFonts w:ascii="StobiSerif Regular" w:hAnsi="StobiSerif Regular" w:cs="Arial"/>
          <w:sz w:val="22"/>
          <w:szCs w:val="22"/>
          <w:lang w:val="mk-MK"/>
        </w:rPr>
        <w:t xml:space="preserve">Осврт на изнесени констатации во 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публикација</w:t>
      </w:r>
      <w:r w:rsidR="00F7398D">
        <w:rPr>
          <w:rFonts w:ascii="StobiSerif Regular" w:hAnsi="StobiSerif Regular" w:cs="Arial"/>
          <w:sz w:val="22"/>
          <w:szCs w:val="22"/>
          <w:lang w:val="mk-MK"/>
        </w:rPr>
        <w:t xml:space="preserve"> „Оцена на </w:t>
      </w:r>
    </w:p>
    <w:p w:rsidR="008A4E61" w:rsidRDefault="008A4E61" w:rsidP="0097535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</w:t>
      </w:r>
      <w:r w:rsidR="00F7398D">
        <w:rPr>
          <w:rFonts w:ascii="StobiSerif Regular" w:hAnsi="StobiSerif Regular" w:cs="Arial"/>
          <w:sz w:val="22"/>
          <w:szCs w:val="22"/>
          <w:lang w:val="mk-MK"/>
        </w:rPr>
        <w:t>законодавните и регулаторни одредби поврзани со работата на</w:t>
      </w:r>
    </w:p>
    <w:p w:rsidR="00975350" w:rsidRPr="002859E6" w:rsidRDefault="008A4E61" w:rsidP="0097535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</w:t>
      </w:r>
      <w:r w:rsidR="00F7398D">
        <w:rPr>
          <w:rFonts w:ascii="StobiSerif Regular" w:hAnsi="StobiSerif Regular" w:cs="Arial"/>
          <w:sz w:val="22"/>
          <w:szCs w:val="22"/>
          <w:lang w:val="mk-MK"/>
        </w:rPr>
        <w:t xml:space="preserve"> Државниот завод за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7398D">
        <w:rPr>
          <w:rFonts w:ascii="StobiSerif Regular" w:hAnsi="StobiSerif Regular" w:cs="Arial"/>
          <w:sz w:val="22"/>
          <w:szCs w:val="22"/>
          <w:lang w:val="mk-MK"/>
        </w:rPr>
        <w:t>ревизија (ДЗР)“</w:t>
      </w:r>
    </w:p>
    <w:p w:rsidR="00AD7E24" w:rsidRDefault="00AD7E24" w:rsidP="0097535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7574B" w:rsidRDefault="00D7574B" w:rsidP="0097535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AD7E24" w:rsidRDefault="00AD7E24" w:rsidP="00AD7E2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Почитуван г. </w:t>
      </w:r>
      <w:r w:rsidR="00F7398D">
        <w:rPr>
          <w:rFonts w:ascii="StobiSerif Regular" w:hAnsi="StobiSerif Regular" w:cs="Arial"/>
          <w:sz w:val="22"/>
          <w:szCs w:val="22"/>
          <w:lang w:val="mk-MK"/>
        </w:rPr>
        <w:t>Николов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</w:p>
    <w:p w:rsidR="00AD7E24" w:rsidRDefault="00AD7E24" w:rsidP="0097535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F7398D" w:rsidRDefault="00F7398D" w:rsidP="00824E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Од страна на Фондацијата за демокра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тија на Вестминстер издадена е публикациј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а под наслов „Оцена на законодавните и регулаторни одредби поврзани со работата на Државниот завод за ревизија (ДЗР)“ во 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која еден од авторите сте и Вие. И</w:t>
      </w:r>
      <w:r>
        <w:rPr>
          <w:rFonts w:ascii="StobiSerif Regular" w:hAnsi="StobiSerif Regular" w:cs="Arial"/>
          <w:sz w:val="22"/>
          <w:szCs w:val="22"/>
          <w:lang w:val="mk-MK"/>
        </w:rPr>
        <w:t>мајќи во предвид дека заклучно до денот на достав</w:t>
      </w:r>
      <w:r w:rsidR="009C1667">
        <w:rPr>
          <w:rFonts w:ascii="StobiSerif Regular" w:hAnsi="StobiSerif Regular" w:cs="Arial"/>
          <w:sz w:val="22"/>
          <w:szCs w:val="22"/>
          <w:lang w:val="mk-MK"/>
        </w:rPr>
        <w:t>увањето на овој осврт ние како в</w:t>
      </w:r>
      <w:r>
        <w:rPr>
          <w:rFonts w:ascii="StobiSerif Regular" w:hAnsi="StobiSerif Regular" w:cs="Arial"/>
          <w:sz w:val="22"/>
          <w:szCs w:val="22"/>
          <w:lang w:val="mk-MK"/>
        </w:rPr>
        <w:t>рховна ревизорска институци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ја не сме кон</w:t>
      </w:r>
      <w:r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к</w:t>
      </w:r>
      <w:r>
        <w:rPr>
          <w:rFonts w:ascii="StobiSerif Regular" w:hAnsi="StobiSerif Regular" w:cs="Arial"/>
          <w:sz w:val="22"/>
          <w:szCs w:val="22"/>
          <w:lang w:val="mk-MK"/>
        </w:rPr>
        <w:t>тирани ниту од Вас ниту од страна на издавачот, чувствуваме за потреба да ги изнесеме нашите видувања во однос на одредени ставови содржани во истата.</w:t>
      </w:r>
    </w:p>
    <w:p w:rsidR="006311A5" w:rsidRDefault="006311A5" w:rsidP="00824E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7398D" w:rsidRDefault="006311A5" w:rsidP="00824E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В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о делот на</w:t>
      </w:r>
      <w:r w:rsidR="00621665">
        <w:rPr>
          <w:rFonts w:ascii="StobiSerif Regular" w:hAnsi="StobiSerif Regular" w:cs="Arial"/>
          <w:sz w:val="22"/>
          <w:szCs w:val="22"/>
          <w:lang w:val="mk-MK"/>
        </w:rPr>
        <w:t xml:space="preserve"> искажаните ставови во областа</w:t>
      </w:r>
      <w:r w:rsidR="008A4E61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621665" w:rsidRDefault="00621665" w:rsidP="00824E1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A4E61" w:rsidRDefault="008A4E61" w:rsidP="008A4E61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07940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</w:t>
      </w:r>
      <w:r w:rsidR="006311A5" w:rsidRPr="00807940">
        <w:rPr>
          <w:rFonts w:ascii="StobiSerif Regular" w:hAnsi="StobiSerif Regular" w:cs="Arial"/>
          <w:b/>
          <w:sz w:val="22"/>
          <w:szCs w:val="22"/>
          <w:lang w:val="mk-MK"/>
        </w:rPr>
        <w:t>рамка</w:t>
      </w:r>
    </w:p>
    <w:p w:rsidR="00621665" w:rsidRPr="00807940" w:rsidRDefault="00621665" w:rsidP="00621665">
      <w:pPr>
        <w:pStyle w:val="ListParagraph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8A4E61" w:rsidRDefault="008A4E61" w:rsidP="008A4E61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Прикажаниот проце</w:t>
      </w:r>
      <w:r w:rsidR="00EE2073">
        <w:rPr>
          <w:rFonts w:ascii="StobiSerif Regular" w:hAnsi="StobiSerif Regular" w:cs="Arial"/>
          <w:sz w:val="22"/>
          <w:szCs w:val="22"/>
          <w:lang w:val="mk-MK"/>
        </w:rPr>
        <w:t xml:space="preserve">с на вршење ревизија на (Слика 1), формалната комуникација меѓу ДЗР и Собранието (слика 2) и Формална комуникација меѓу ДЗР и Владата (слика 3)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не </w:t>
      </w:r>
      <w:r w:rsidR="00EE2073">
        <w:rPr>
          <w:rFonts w:ascii="StobiSerif Regular" w:hAnsi="StobiSerif Regular" w:cs="Arial"/>
          <w:sz w:val="22"/>
          <w:szCs w:val="22"/>
          <w:lang w:val="mk-MK"/>
        </w:rPr>
        <w:t>с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е во согласност со </w:t>
      </w:r>
      <w:r w:rsidR="00EE2073">
        <w:rPr>
          <w:rFonts w:ascii="StobiSerif Regular" w:hAnsi="StobiSerif Regular" w:cs="Arial"/>
          <w:sz w:val="22"/>
          <w:szCs w:val="22"/>
          <w:lang w:val="mk-MK"/>
        </w:rPr>
        <w:t xml:space="preserve">одредбите на Законот за државната ревизија и другите закони кои ја уредуваат наведената област како и </w:t>
      </w:r>
      <w:r>
        <w:rPr>
          <w:rFonts w:ascii="StobiSerif Regular" w:hAnsi="StobiSerif Regular" w:cs="Arial"/>
          <w:sz w:val="22"/>
          <w:szCs w:val="22"/>
          <w:lang w:val="mk-MK"/>
        </w:rPr>
        <w:t>активностите утврдени во методолошките акти на ДЗР;</w:t>
      </w:r>
    </w:p>
    <w:p w:rsidR="008A4E61" w:rsidRDefault="00EE2073" w:rsidP="008A4E61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Критериумите и постапките за предлагање на субјекти предмет на ревизија се уредени со методолошките акти на ДЗР, истите </w:t>
      </w: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>преставуваат алатка за начинот на постапува</w:t>
      </w:r>
      <w:r w:rsidR="009C1667">
        <w:rPr>
          <w:rFonts w:ascii="StobiSerif Regular" w:hAnsi="StobiSerif Regular" w:cs="Arial"/>
          <w:sz w:val="22"/>
          <w:szCs w:val="22"/>
          <w:lang w:val="mk-MK"/>
        </w:rPr>
        <w:t>ње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вработените во ДЗР и се достапни за сите државни ревизори;</w:t>
      </w:r>
    </w:p>
    <w:p w:rsidR="00EE2073" w:rsidRDefault="00EE2073" w:rsidP="008A4E61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Начинот на </w:t>
      </w:r>
      <w:r w:rsidR="007F09CD">
        <w:rPr>
          <w:rFonts w:ascii="StobiSerif Regular" w:hAnsi="StobiSerif Regular" w:cs="Arial"/>
          <w:sz w:val="22"/>
          <w:szCs w:val="22"/>
          <w:lang w:val="mk-MK"/>
        </w:rPr>
        <w:t xml:space="preserve">соработка меѓу ДЗР и надлежните органи како и </w:t>
      </w:r>
      <w:r>
        <w:rPr>
          <w:rFonts w:ascii="StobiSerif Regular" w:hAnsi="StobiSerif Regular" w:cs="Arial"/>
          <w:sz w:val="22"/>
          <w:szCs w:val="22"/>
          <w:lang w:val="mk-MK"/>
        </w:rPr>
        <w:t>обезбедување</w:t>
      </w:r>
      <w:r w:rsidR="007F09CD">
        <w:rPr>
          <w:rFonts w:ascii="StobiSerif Regular" w:hAnsi="StobiSerif Regular" w:cs="Arial"/>
          <w:sz w:val="22"/>
          <w:szCs w:val="22"/>
          <w:lang w:val="mk-MK"/>
        </w:rPr>
        <w:t>то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повратни информации од надлежните органи е уред</w:t>
      </w:r>
      <w:r w:rsidR="0089514F">
        <w:rPr>
          <w:rFonts w:ascii="StobiSerif Regular" w:hAnsi="StobiSerif Regular" w:cs="Arial"/>
          <w:sz w:val="22"/>
          <w:szCs w:val="22"/>
          <w:lang w:val="mk-MK"/>
        </w:rPr>
        <w:t xml:space="preserve">ено со одредбите на склучениот </w:t>
      </w:r>
      <w:r w:rsidR="007F09CD">
        <w:rPr>
          <w:rFonts w:ascii="StobiSerif Regular" w:hAnsi="StobiSerif Regular" w:cs="Arial"/>
          <w:sz w:val="22"/>
          <w:szCs w:val="22"/>
          <w:lang w:val="mk-MK"/>
        </w:rPr>
        <w:t>протокол</w:t>
      </w:r>
      <w:r w:rsidR="0089514F">
        <w:rPr>
          <w:rFonts w:ascii="StobiSerif Regular" w:hAnsi="StobiSerif Regular" w:cs="Arial"/>
          <w:sz w:val="22"/>
          <w:szCs w:val="22"/>
          <w:lang w:val="mk-MK"/>
        </w:rPr>
        <w:t xml:space="preserve"> за соработка;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7F09CD" w:rsidRDefault="007F09CD" w:rsidP="008A4E61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Независноста на ДЗР е уредена со одредбите на Законот за државната ревизија и во досегашната пракса нема состојби кои упатуваат на ограничувања од правен и финансиски аспект;</w:t>
      </w:r>
    </w:p>
    <w:p w:rsidR="007F09CD" w:rsidRDefault="00273623" w:rsidP="008A4E61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Следењето на преземените мерки по </w:t>
      </w:r>
      <w:r w:rsidR="009C1667">
        <w:rPr>
          <w:rFonts w:ascii="StobiSerif Regular" w:hAnsi="StobiSerif Regular" w:cs="Arial"/>
          <w:sz w:val="22"/>
          <w:szCs w:val="22"/>
          <w:lang w:val="mk-MK"/>
        </w:rPr>
        <w:t>дадените препораки содржани во к</w:t>
      </w:r>
      <w:r>
        <w:rPr>
          <w:rFonts w:ascii="StobiSerif Regular" w:hAnsi="StobiSerif Regular" w:cs="Arial"/>
          <w:sz w:val="22"/>
          <w:szCs w:val="22"/>
          <w:lang w:val="mk-MK"/>
        </w:rPr>
        <w:t>онечните извештаи за извршените ревизии е уредено со одредбите на Законот за државната ревизија и методолошките акти на ДЗР. За оваа активност ДЗР има развиено и воспоставено софтверска апликација која престав</w:t>
      </w:r>
      <w:r w:rsidR="006311A5">
        <w:rPr>
          <w:rFonts w:ascii="StobiSerif Regular" w:hAnsi="StobiSerif Regular" w:cs="Arial"/>
          <w:sz w:val="22"/>
          <w:szCs w:val="22"/>
          <w:lang w:val="mk-MK"/>
        </w:rPr>
        <w:t>ува добра пракса и за други ВРИ.</w:t>
      </w:r>
    </w:p>
    <w:p w:rsidR="006311A5" w:rsidRDefault="006311A5" w:rsidP="006311A5">
      <w:pPr>
        <w:pStyle w:val="ListParagraph"/>
        <w:ind w:left="144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86EC4" w:rsidRDefault="006311A5" w:rsidP="006311A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07940">
        <w:rPr>
          <w:rFonts w:ascii="StobiSerif Regular" w:hAnsi="StobiSerif Regular" w:cs="Arial"/>
          <w:b/>
          <w:sz w:val="22"/>
          <w:szCs w:val="22"/>
          <w:lang w:val="mk-MK"/>
        </w:rPr>
        <w:t>Практични аспекти и проблеми</w:t>
      </w:r>
    </w:p>
    <w:p w:rsidR="00621665" w:rsidRPr="00807940" w:rsidRDefault="00621665" w:rsidP="00621665">
      <w:pPr>
        <w:pStyle w:val="ListParagraph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311A5" w:rsidRDefault="006311A5" w:rsidP="006311A5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Активностите за начинот на постапувањето на ДЗР во случај на не преземање активности по дадените препораки од страна на ревидираните субјекти се уредени со методолошките акти на ДЗР;</w:t>
      </w:r>
    </w:p>
    <w:p w:rsidR="006311A5" w:rsidRDefault="002D4B61" w:rsidP="006311A5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годишната сметка на Буџетот на РМ е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пропратена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со извештајот на овластениот државен ревизор и истата преставува предмет на разгледување од страна на Собранието на РМ;</w:t>
      </w:r>
    </w:p>
    <w:p w:rsidR="002D4B61" w:rsidRDefault="002D4B61" w:rsidP="006311A5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формирањето на ревизорскиот комитет</w:t>
      </w:r>
      <w:r>
        <w:rPr>
          <w:rStyle w:val="FootnoteReference"/>
          <w:rFonts w:ascii="StobiSerif Regular" w:hAnsi="StobiSerif Regular" w:cs="Arial"/>
          <w:sz w:val="22"/>
          <w:szCs w:val="22"/>
          <w:lang w:val="mk-MK"/>
        </w:rPr>
        <w:footnoteReference w:id="1"/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рамките на Министерството за финансии е во функција на внатрешната ревизија и има консултативна улога;</w:t>
      </w:r>
    </w:p>
    <w:p w:rsidR="002D4B61" w:rsidRDefault="00807940" w:rsidP="006311A5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поврзувањето на бројот на наоди и бројот на спроведени препораки по години по својата природа не може да се споредува бидејќи 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субјектите на ревизија од година во година се разликуваат, </w:t>
      </w:r>
      <w:r>
        <w:rPr>
          <w:rFonts w:ascii="StobiSerif Regular" w:hAnsi="StobiSerif Regular" w:cs="Arial"/>
          <w:sz w:val="22"/>
          <w:szCs w:val="22"/>
          <w:lang w:val="mk-MK"/>
        </w:rPr>
        <w:t>за определени наоди може да се дадат и повеќе препораки, за повеќе наоди да е дадена една препорака или пак за одредена состојба воопшто да не се даде препорака поради тоа што субјектот предмет на ревизија преземал мерки уште во текот на ревизијата.</w:t>
      </w:r>
    </w:p>
    <w:p w:rsidR="00807940" w:rsidRDefault="00807940" w:rsidP="00807940">
      <w:pPr>
        <w:pStyle w:val="ListParagraph"/>
        <w:ind w:left="144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807940" w:rsidRDefault="00807940" w:rsidP="00807940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807940">
        <w:rPr>
          <w:rFonts w:ascii="StobiSerif Regular" w:hAnsi="StobiSerif Regular" w:cs="Arial"/>
          <w:b/>
          <w:sz w:val="22"/>
          <w:szCs w:val="22"/>
          <w:lang w:val="mk-MK"/>
        </w:rPr>
        <w:t>Меѓународна пракса</w:t>
      </w:r>
    </w:p>
    <w:p w:rsidR="00621665" w:rsidRPr="00807940" w:rsidRDefault="00621665" w:rsidP="00621665">
      <w:pPr>
        <w:pStyle w:val="ListParagraph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21665" w:rsidRDefault="00807940" w:rsidP="00970D85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Посочените примери од меѓународните 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>ВРИ како различни модели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се корисни 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за да се 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у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>каже дека не постои пракса во другите ВРИ каде што се предвидува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ат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 казнени одредби за субјектите со Законот за државната ревизија или пак им се дава овластување на ВРИ да наметнува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ат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 санкции врз субјектите на ревизија, во услови кога постојат надлежни институции како Јавно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 обвинителство, Министерство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 за внатрешни работи, Државна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t xml:space="preserve"> комисија за </w:t>
      </w:r>
      <w:r w:rsidR="00927894">
        <w:rPr>
          <w:rFonts w:ascii="StobiSerif Regular" w:hAnsi="StobiSerif Regular" w:cs="Arial"/>
          <w:sz w:val="22"/>
          <w:szCs w:val="22"/>
          <w:lang w:val="mk-MK"/>
        </w:rPr>
        <w:lastRenderedPageBreak/>
        <w:t>спречување на корупцијата и други</w:t>
      </w:r>
      <w:r w:rsidR="003636A8">
        <w:rPr>
          <w:rFonts w:ascii="StobiSerif Regular" w:hAnsi="StobiSerif Regular" w:cs="Arial"/>
          <w:sz w:val="22"/>
          <w:szCs w:val="22"/>
          <w:lang w:val="mk-MK"/>
        </w:rPr>
        <w:t>, кои согласно закон имаат надлежности во понатамошна постапка.</w:t>
      </w:r>
    </w:p>
    <w:p w:rsidR="003636A8" w:rsidRPr="00970D85" w:rsidRDefault="003636A8" w:rsidP="003636A8">
      <w:pPr>
        <w:pStyle w:val="ListParagraph"/>
        <w:ind w:left="144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B5C63" w:rsidRDefault="001B5C63" w:rsidP="001B5C63">
      <w:pPr>
        <w:pStyle w:val="ListParagraph"/>
        <w:numPr>
          <w:ilvl w:val="0"/>
          <w:numId w:val="1"/>
        </w:num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B5C63">
        <w:rPr>
          <w:rFonts w:ascii="StobiSerif Regular" w:hAnsi="StobiSerif Regular" w:cs="Arial"/>
          <w:b/>
          <w:sz w:val="22"/>
          <w:szCs w:val="22"/>
          <w:lang w:val="mk-MK"/>
        </w:rPr>
        <w:t>Предлог препораки за подобрување на работата на ДЗР</w:t>
      </w:r>
    </w:p>
    <w:p w:rsidR="00621665" w:rsidRDefault="00621665" w:rsidP="00621665">
      <w:pPr>
        <w:pStyle w:val="ListParagraph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1B5C63" w:rsidRDefault="00621665" w:rsidP="001B5C63">
      <w:pPr>
        <w:pStyle w:val="ListParagraph"/>
        <w:numPr>
          <w:ilvl w:val="1"/>
          <w:numId w:val="1"/>
        </w:num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621665">
        <w:rPr>
          <w:rFonts w:ascii="StobiSerif Regular" w:hAnsi="StobiSerif Regular" w:cs="Arial"/>
          <w:sz w:val="22"/>
          <w:szCs w:val="22"/>
          <w:lang w:val="mk-MK"/>
        </w:rPr>
        <w:t xml:space="preserve">Финансиската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независност, </w:t>
      </w:r>
      <w:r w:rsidRPr="00621665">
        <w:rPr>
          <w:rFonts w:ascii="StobiSerif Regular" w:hAnsi="StobiSerif Regular" w:cs="Arial"/>
          <w:sz w:val="22"/>
          <w:szCs w:val="22"/>
          <w:lang w:val="mk-MK"/>
        </w:rPr>
        <w:t xml:space="preserve">правниот статус на државните ревизори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 обврската за постапување/известување за преземените мерки по дадените препораки се </w:t>
      </w:r>
      <w:r w:rsidRPr="00621665">
        <w:rPr>
          <w:rFonts w:ascii="StobiSerif Regular" w:hAnsi="StobiSerif Regular" w:cs="Arial"/>
          <w:sz w:val="22"/>
          <w:szCs w:val="22"/>
          <w:lang w:val="mk-MK"/>
        </w:rPr>
        <w:t>уредени со одредбите н</w:t>
      </w:r>
      <w:r>
        <w:rPr>
          <w:rFonts w:ascii="StobiSerif Regular" w:hAnsi="StobiSerif Regular" w:cs="Arial"/>
          <w:sz w:val="22"/>
          <w:szCs w:val="22"/>
          <w:lang w:val="mk-MK"/>
        </w:rPr>
        <w:t>а Законот за државната ревизија.</w:t>
      </w:r>
    </w:p>
    <w:p w:rsidR="00824E1F" w:rsidRPr="00824E1F" w:rsidRDefault="00824E1F" w:rsidP="00EE06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E069C" w:rsidRPr="002859E6" w:rsidRDefault="00EE069C" w:rsidP="00EE069C">
      <w:pPr>
        <w:rPr>
          <w:rFonts w:ascii="StobiSerif Regular" w:hAnsi="StobiSerif Regular" w:cs="Arial"/>
          <w:sz w:val="22"/>
          <w:szCs w:val="22"/>
          <w:lang w:val="mk-MK"/>
        </w:rPr>
      </w:pPr>
      <w:r w:rsidRPr="002859E6">
        <w:rPr>
          <w:rFonts w:ascii="StobiSerif Regular" w:hAnsi="StobiSerif Regular" w:cs="Arial"/>
          <w:sz w:val="22"/>
          <w:szCs w:val="22"/>
          <w:lang w:val="mk-MK"/>
        </w:rPr>
        <w:t xml:space="preserve">Со почит, </w:t>
      </w:r>
    </w:p>
    <w:p w:rsidR="00824E1F" w:rsidRDefault="00824E1F" w:rsidP="001D192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29DE" w:rsidRDefault="002F29DE" w:rsidP="002F29DE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F29DE" w:rsidRDefault="002F29DE" w:rsidP="002F29DE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A21A1" w:rsidRDefault="002F29DE" w:rsidP="002F29DE">
      <w:pPr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Број: </w:t>
      </w:r>
      <w:r>
        <w:rPr>
          <w:rFonts w:ascii="StobiSerif Regular" w:hAnsi="StobiSerif Regular" w:cs="Arial"/>
          <w:b/>
          <w:sz w:val="22"/>
          <w:szCs w:val="22"/>
        </w:rPr>
        <w:t xml:space="preserve">14-204/1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</w:t>
      </w:r>
      <w:r w:rsidR="00AA21A1" w:rsidRPr="008E4DD9">
        <w:rPr>
          <w:rFonts w:ascii="StobiSerif Regular" w:hAnsi="StobiSerif Regular" w:cs="Arial"/>
          <w:b/>
          <w:sz w:val="22"/>
          <w:szCs w:val="22"/>
          <w:lang w:val="mk-MK"/>
        </w:rPr>
        <w:t>Главен државен ревизор</w:t>
      </w:r>
    </w:p>
    <w:p w:rsidR="002F29DE" w:rsidRPr="002F29DE" w:rsidRDefault="002F29DE" w:rsidP="002F29DE">
      <w:pPr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Дата: </w:t>
      </w:r>
      <w:r>
        <w:rPr>
          <w:rFonts w:ascii="StobiSerif Regular" w:hAnsi="StobiSerif Regular" w:cs="Arial"/>
          <w:b/>
          <w:sz w:val="22"/>
          <w:szCs w:val="22"/>
        </w:rPr>
        <w:t xml:space="preserve">22.02.2017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година </w:t>
      </w:r>
    </w:p>
    <w:p w:rsidR="00AA21A1" w:rsidRDefault="009C1667" w:rsidP="009C1667">
      <w:pPr>
        <w:ind w:left="4320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</w:t>
      </w:r>
      <w:r w:rsidR="002F29DE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</w:t>
      </w:r>
      <w:r w:rsidR="00921DA3">
        <w:rPr>
          <w:rFonts w:ascii="StobiSerif Regular" w:hAnsi="StobiSerif Regular" w:cs="Arial"/>
          <w:b/>
          <w:sz w:val="22"/>
          <w:szCs w:val="22"/>
          <w:lang w:val="mk-MK"/>
        </w:rPr>
        <w:t>м-р Тања Таневска</w:t>
      </w:r>
    </w:p>
    <w:p w:rsidR="00D7574B" w:rsidRDefault="00D7574B" w:rsidP="00AA21A1">
      <w:pPr>
        <w:ind w:left="43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7574B" w:rsidRDefault="00D7574B" w:rsidP="00AA21A1">
      <w:pPr>
        <w:ind w:left="43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7574B" w:rsidRDefault="00D7574B" w:rsidP="00AA21A1">
      <w:pPr>
        <w:ind w:left="432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AA21A1" w:rsidRPr="00975729" w:rsidRDefault="00AA21A1" w:rsidP="00AA21A1">
      <w:pPr>
        <w:rPr>
          <w:rFonts w:ascii="StobiSerif Regular" w:hAnsi="StobiSerif Regular" w:cs="Arial"/>
          <w:b/>
          <w:sz w:val="16"/>
          <w:szCs w:val="16"/>
          <w:lang w:val="mk-MK"/>
        </w:rPr>
      </w:pPr>
      <w:r w:rsidRPr="00155EB7">
        <w:rPr>
          <w:rFonts w:ascii="StobiSerif Regular" w:hAnsi="StobiSerif Regular" w:cs="Arial"/>
          <w:b/>
          <w:sz w:val="22"/>
          <w:szCs w:val="22"/>
          <w:lang w:val="ru-RU"/>
        </w:rPr>
        <w:t xml:space="preserve">                                                                                                       </w:t>
      </w:r>
    </w:p>
    <w:p w:rsidR="00AA21A1" w:rsidRDefault="00AA21A1" w:rsidP="00AA21A1">
      <w:pPr>
        <w:rPr>
          <w:rFonts w:ascii="StobiSerif Regular" w:hAnsi="StobiSerif Regular" w:cs="Arial"/>
          <w:b/>
          <w:sz w:val="18"/>
          <w:szCs w:val="18"/>
          <w:lang w:val="mk-MK"/>
        </w:rPr>
      </w:pPr>
    </w:p>
    <w:p w:rsidR="008A4E61" w:rsidRDefault="00AA21A1" w:rsidP="00AA21A1">
      <w:pPr>
        <w:rPr>
          <w:rFonts w:ascii="StobiSerif Regular" w:hAnsi="StobiSerif Regular" w:cs="Arial"/>
          <w:b/>
          <w:i/>
          <w:sz w:val="18"/>
          <w:szCs w:val="18"/>
          <w:lang w:val="mk-MK"/>
        </w:rPr>
      </w:pPr>
      <w:r w:rsidRPr="008E4DD9">
        <w:rPr>
          <w:rFonts w:ascii="StobiSerif Regular" w:hAnsi="StobiSerif Regular" w:cs="Arial"/>
          <w:b/>
          <w:sz w:val="18"/>
          <w:szCs w:val="18"/>
          <w:lang w:val="mk-MK"/>
        </w:rPr>
        <w:t>Изработил</w:t>
      </w:r>
      <w:r w:rsidR="008A4E61">
        <w:rPr>
          <w:rFonts w:ascii="StobiSerif Regular" w:hAnsi="StobiSerif Regular" w:cs="Arial"/>
          <w:b/>
          <w:sz w:val="18"/>
          <w:szCs w:val="18"/>
          <w:lang w:val="mk-MK"/>
        </w:rPr>
        <w:t>е</w:t>
      </w:r>
      <w:r w:rsidRPr="008E4DD9">
        <w:rPr>
          <w:rFonts w:ascii="StobiSerif Regular" w:hAnsi="StobiSerif Regular" w:cs="Arial"/>
          <w:b/>
          <w:i/>
          <w:sz w:val="18"/>
          <w:szCs w:val="18"/>
          <w:lang w:val="mk-MK"/>
        </w:rPr>
        <w:t xml:space="preserve">:       </w:t>
      </w:r>
    </w:p>
    <w:p w:rsidR="008A4E61" w:rsidRDefault="008A4E61" w:rsidP="00AA21A1">
      <w:pPr>
        <w:rPr>
          <w:rFonts w:ascii="StobiSerif Regular" w:hAnsi="StobiSerif Regular" w:cs="Arial"/>
          <w:b/>
          <w:sz w:val="18"/>
          <w:szCs w:val="18"/>
          <w:lang w:val="mk-MK"/>
        </w:rPr>
      </w:pPr>
      <w:r w:rsidRPr="008A4E61">
        <w:rPr>
          <w:rFonts w:ascii="StobiSerif Regular" w:hAnsi="StobiSerif Regular" w:cs="Arial"/>
          <w:b/>
          <w:sz w:val="18"/>
          <w:szCs w:val="18"/>
          <w:lang w:val="mk-MK"/>
        </w:rPr>
        <w:t xml:space="preserve">м-р </w:t>
      </w:r>
      <w:r>
        <w:rPr>
          <w:rFonts w:ascii="StobiSerif Regular" w:hAnsi="StobiSerif Regular" w:cs="Arial"/>
          <w:b/>
          <w:sz w:val="18"/>
          <w:szCs w:val="18"/>
          <w:lang w:val="mk-MK"/>
        </w:rPr>
        <w:t>Цвета Ристовска, ПГДР</w:t>
      </w:r>
    </w:p>
    <w:p w:rsidR="008A4E61" w:rsidRDefault="008A4E61" w:rsidP="00AA21A1">
      <w:pPr>
        <w:rPr>
          <w:rFonts w:ascii="StobiSerif Regular" w:hAnsi="StobiSerif Regular" w:cs="Arial"/>
          <w:b/>
          <w:sz w:val="18"/>
          <w:szCs w:val="18"/>
          <w:lang w:val="mk-MK"/>
        </w:rPr>
      </w:pPr>
      <w:r>
        <w:rPr>
          <w:rFonts w:ascii="StobiSerif Regular" w:hAnsi="StobiSerif Regular" w:cs="Arial"/>
          <w:b/>
          <w:sz w:val="18"/>
          <w:szCs w:val="18"/>
          <w:lang w:val="mk-MK"/>
        </w:rPr>
        <w:t>Тања Јаневска, ПГДР</w:t>
      </w:r>
    </w:p>
    <w:p w:rsidR="008A4E61" w:rsidRPr="008A4E61" w:rsidRDefault="009C1667" w:rsidP="00AA21A1">
      <w:pPr>
        <w:rPr>
          <w:rFonts w:ascii="StobiSerif Regular" w:hAnsi="StobiSerif Regular" w:cs="Arial"/>
          <w:b/>
          <w:sz w:val="18"/>
          <w:szCs w:val="18"/>
          <w:lang w:val="mk-MK"/>
        </w:rPr>
      </w:pPr>
      <w:r>
        <w:rPr>
          <w:rFonts w:ascii="StobiSerif Regular" w:hAnsi="StobiSerif Regular" w:cs="Arial"/>
          <w:b/>
          <w:sz w:val="18"/>
          <w:szCs w:val="18"/>
          <w:lang w:val="mk-MK"/>
        </w:rPr>
        <w:t>м</w:t>
      </w:r>
      <w:r w:rsidR="008A4E61">
        <w:rPr>
          <w:rFonts w:ascii="StobiSerif Regular" w:hAnsi="StobiSerif Regular" w:cs="Arial"/>
          <w:b/>
          <w:sz w:val="18"/>
          <w:szCs w:val="18"/>
          <w:lang w:val="mk-MK"/>
        </w:rPr>
        <w:t>-р Лилјана Стојанова, ПГДР</w:t>
      </w:r>
    </w:p>
    <w:p w:rsidR="00261A8A" w:rsidRPr="00C41B15" w:rsidRDefault="00921DA3" w:rsidP="00AA21A1">
      <w:pPr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sz w:val="18"/>
          <w:szCs w:val="18"/>
          <w:lang w:val="mk-MK"/>
        </w:rPr>
        <w:t>м-р Максим Аце</w:t>
      </w:r>
      <w:r w:rsidR="008241C6">
        <w:rPr>
          <w:rFonts w:ascii="StobiSerif Regular" w:hAnsi="StobiSerif Regular" w:cs="Arial"/>
          <w:b/>
          <w:sz w:val="18"/>
          <w:szCs w:val="18"/>
          <w:lang w:val="mk-MK"/>
        </w:rPr>
        <w:t>в</w:t>
      </w:r>
      <w:r>
        <w:rPr>
          <w:rFonts w:ascii="StobiSerif Regular" w:hAnsi="StobiSerif Regular" w:cs="Arial"/>
          <w:b/>
          <w:sz w:val="18"/>
          <w:szCs w:val="18"/>
          <w:lang w:val="mk-MK"/>
        </w:rPr>
        <w:t>ски, ПГДР</w:t>
      </w:r>
    </w:p>
    <w:sectPr w:rsidR="00261A8A" w:rsidRPr="00C41B15" w:rsidSect="00261A8A">
      <w:headerReference w:type="default" r:id="rId8"/>
      <w:footerReference w:type="default" r:id="rId9"/>
      <w:headerReference w:type="first" r:id="rId10"/>
      <w:pgSz w:w="11907" w:h="16840" w:code="9"/>
      <w:pgMar w:top="1418" w:right="1418" w:bottom="1418" w:left="141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E9" w:rsidRDefault="008F47E9">
      <w:r>
        <w:separator/>
      </w:r>
    </w:p>
  </w:endnote>
  <w:endnote w:type="continuationSeparator" w:id="0">
    <w:p w:rsidR="008F47E9" w:rsidRDefault="008F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F3" w:rsidRPr="00EC0FE2" w:rsidRDefault="00F71EF3" w:rsidP="00261A8A">
    <w:pPr>
      <w:pStyle w:val="Footer"/>
      <w:pBdr>
        <w:top w:val="single" w:sz="4" w:space="1" w:color="auto"/>
      </w:pBdr>
      <w:jc w:val="center"/>
      <w:rPr>
        <w:rFonts w:ascii="StobiSerif Regular" w:hAnsi="StobiSerif Regular" w:cs="Arial"/>
        <w:sz w:val="20"/>
        <w:szCs w:val="20"/>
        <w:lang w:val="mk-MK"/>
      </w:rPr>
    </w:pPr>
    <w:r w:rsidRPr="00EC0FE2">
      <w:rPr>
        <w:rFonts w:ascii="StobiSerif Regular" w:hAnsi="StobiSerif Regular" w:cs="Arial"/>
        <w:sz w:val="20"/>
        <w:szCs w:val="20"/>
        <w:lang w:val="mk-MK"/>
      </w:rPr>
      <w:t>Државен завод за ревизија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E9" w:rsidRDefault="008F47E9">
      <w:r>
        <w:separator/>
      </w:r>
    </w:p>
  </w:footnote>
  <w:footnote w:type="continuationSeparator" w:id="0">
    <w:p w:rsidR="008F47E9" w:rsidRDefault="008F47E9">
      <w:r>
        <w:continuationSeparator/>
      </w:r>
    </w:p>
  </w:footnote>
  <w:footnote w:id="1">
    <w:p w:rsidR="002D4B61" w:rsidRPr="002D4B61" w:rsidRDefault="002D4B61">
      <w:pPr>
        <w:pStyle w:val="FootnoteText"/>
        <w:rPr>
          <w:rFonts w:ascii="StobiSerif Regular" w:hAnsi="StobiSerif Regular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2D4B61">
        <w:rPr>
          <w:rFonts w:ascii="StobiSerif Regular" w:hAnsi="StobiSerif Regular"/>
          <w:lang w:val="mk-MK"/>
        </w:rPr>
        <w:t>Член 45 од ЗЈВФК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F3" w:rsidRDefault="00F71EF3">
    <w:pPr>
      <w:rPr>
        <w:rFonts w:ascii="Arial" w:hAnsi="Arial" w:cs="Arial"/>
        <w:b/>
        <w:bCs/>
        <w:lang w:val="mk-MK"/>
      </w:rPr>
    </w:pPr>
    <w:r>
      <w:rPr>
        <w:rFonts w:cs="Arial"/>
        <w:b/>
      </w:rPr>
      <w:t xml:space="preserve">   </w:t>
    </w:r>
  </w:p>
  <w:p w:rsidR="00F71EF3" w:rsidRDefault="00F71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F3" w:rsidRPr="002859E6" w:rsidRDefault="00DC6723">
    <w:pPr>
      <w:rPr>
        <w:rFonts w:ascii="StobiSerif Regular" w:hAnsi="StobiSerif Regular" w:cs="Arial"/>
        <w:b/>
      </w:rPr>
    </w:pPr>
    <w:r>
      <w:rPr>
        <w:rFonts w:ascii="StobiSerif Regular" w:hAnsi="StobiSerif Regular" w:cs="Arial"/>
        <w:b/>
        <w:noProof/>
        <w:lang w:val="mk-MK" w:eastAsia="mk-MK"/>
      </w:rPr>
      <w:drawing>
        <wp:inline distT="0" distB="0" distL="0" distR="0">
          <wp:extent cx="5753100" cy="1419225"/>
          <wp:effectExtent l="19050" t="0" r="0" b="0"/>
          <wp:docPr id="1" name="Picture 1" descr="memo FINAL M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FINAL M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1EF3" w:rsidRPr="002F29DE" w:rsidRDefault="00F71EF3">
    <w:pPr>
      <w:rPr>
        <w:rFonts w:ascii="StobiSerif Regular" w:hAnsi="StobiSerif Regular" w:cs="Arial"/>
        <w:b/>
        <w:bCs/>
        <w:sz w:val="20"/>
        <w:szCs w:val="20"/>
      </w:rPr>
    </w:pPr>
    <w:r w:rsidRPr="002859E6">
      <w:rPr>
        <w:rFonts w:ascii="StobiSerif Regular" w:hAnsi="StobiSerif Regular" w:cs="Arial"/>
        <w:b/>
        <w:bCs/>
        <w:sz w:val="16"/>
        <w:szCs w:val="16"/>
        <w:lang w:val="mk-MK"/>
      </w:rPr>
      <w:t xml:space="preserve">      </w:t>
    </w:r>
    <w:r w:rsidRPr="002859E6">
      <w:rPr>
        <w:rFonts w:ascii="StobiSerif Regular" w:hAnsi="StobiSerif Regular" w:cs="Arial"/>
        <w:b/>
        <w:bCs/>
        <w:sz w:val="20"/>
        <w:szCs w:val="20"/>
        <w:lang w:val="mk-MK"/>
      </w:rPr>
      <w:t>Број:</w:t>
    </w:r>
    <w:r w:rsidR="002F29DE">
      <w:rPr>
        <w:rFonts w:ascii="StobiSerif Regular" w:hAnsi="StobiSerif Regular" w:cs="Arial"/>
        <w:b/>
        <w:bCs/>
        <w:sz w:val="20"/>
        <w:szCs w:val="20"/>
      </w:rPr>
      <w:t xml:space="preserve"> 14-204/1</w:t>
    </w:r>
  </w:p>
  <w:p w:rsidR="00F71EF3" w:rsidRPr="002859E6" w:rsidRDefault="00F71EF3">
    <w:pPr>
      <w:rPr>
        <w:rFonts w:ascii="StobiSerif Regular" w:hAnsi="StobiSerif Regular" w:cs="Arial"/>
        <w:b/>
        <w:bCs/>
        <w:sz w:val="12"/>
        <w:szCs w:val="12"/>
        <w:lang w:val="mk-MK"/>
      </w:rPr>
    </w:pPr>
  </w:p>
  <w:p w:rsidR="00F71EF3" w:rsidRPr="002F29DE" w:rsidRDefault="00F71EF3">
    <w:pPr>
      <w:pStyle w:val="Header"/>
      <w:rPr>
        <w:rFonts w:ascii="StobiSerif Regular" w:hAnsi="StobiSerif Regular"/>
        <w:sz w:val="20"/>
        <w:szCs w:val="20"/>
      </w:rPr>
    </w:pPr>
    <w:r w:rsidRPr="002859E6">
      <w:rPr>
        <w:rFonts w:ascii="StobiSerif Regular" w:hAnsi="StobiSerif Regular" w:cs="Arial"/>
        <w:b/>
        <w:bCs/>
        <w:sz w:val="20"/>
        <w:szCs w:val="20"/>
        <w:lang w:val="mk-MK"/>
      </w:rPr>
      <w:t xml:space="preserve">    </w:t>
    </w:r>
    <w:r w:rsidRPr="002F29DE">
      <w:rPr>
        <w:rFonts w:ascii="StobiSerif Regular" w:hAnsi="StobiSerif Regular" w:cs="Arial"/>
        <w:b/>
        <w:bCs/>
        <w:sz w:val="20"/>
        <w:szCs w:val="20"/>
        <w:lang w:val="mk-MK"/>
      </w:rPr>
      <w:t xml:space="preserve">Дата: </w:t>
    </w:r>
    <w:r w:rsidR="002F29DE" w:rsidRPr="002F29DE">
      <w:rPr>
        <w:rFonts w:ascii="StobiSerif Regular" w:hAnsi="StobiSerif Regular" w:cs="Arial"/>
        <w:b/>
        <w:bCs/>
        <w:sz w:val="20"/>
        <w:szCs w:val="20"/>
      </w:rPr>
      <w:t xml:space="preserve">22.02.2017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35C9"/>
    <w:multiLevelType w:val="hybridMultilevel"/>
    <w:tmpl w:val="808638CA"/>
    <w:lvl w:ilvl="0" w:tplc="807466B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43E"/>
    <w:rsid w:val="00006846"/>
    <w:rsid w:val="0003636C"/>
    <w:rsid w:val="00042F44"/>
    <w:rsid w:val="00054E86"/>
    <w:rsid w:val="000663DC"/>
    <w:rsid w:val="000A622B"/>
    <w:rsid w:val="000A7160"/>
    <w:rsid w:val="000E2B10"/>
    <w:rsid w:val="00115442"/>
    <w:rsid w:val="00124983"/>
    <w:rsid w:val="0014743E"/>
    <w:rsid w:val="001539D3"/>
    <w:rsid w:val="00157AEC"/>
    <w:rsid w:val="0016108E"/>
    <w:rsid w:val="00194BE8"/>
    <w:rsid w:val="00197DA5"/>
    <w:rsid w:val="001A7F6C"/>
    <w:rsid w:val="001B360F"/>
    <w:rsid w:val="001B5C63"/>
    <w:rsid w:val="001D192C"/>
    <w:rsid w:val="001D6647"/>
    <w:rsid w:val="0024635C"/>
    <w:rsid w:val="00252CA6"/>
    <w:rsid w:val="00252F13"/>
    <w:rsid w:val="00261A8A"/>
    <w:rsid w:val="00263267"/>
    <w:rsid w:val="00273623"/>
    <w:rsid w:val="002813AA"/>
    <w:rsid w:val="002859E6"/>
    <w:rsid w:val="002914CE"/>
    <w:rsid w:val="002932B1"/>
    <w:rsid w:val="00293427"/>
    <w:rsid w:val="002A6E4B"/>
    <w:rsid w:val="002C31FA"/>
    <w:rsid w:val="002C37FD"/>
    <w:rsid w:val="002C3A5A"/>
    <w:rsid w:val="002D4B61"/>
    <w:rsid w:val="002F29DE"/>
    <w:rsid w:val="0031359C"/>
    <w:rsid w:val="00346B3C"/>
    <w:rsid w:val="003477A3"/>
    <w:rsid w:val="003636A8"/>
    <w:rsid w:val="003A6495"/>
    <w:rsid w:val="003C20C9"/>
    <w:rsid w:val="003C4CDE"/>
    <w:rsid w:val="004049B0"/>
    <w:rsid w:val="004177B0"/>
    <w:rsid w:val="0042106A"/>
    <w:rsid w:val="00440189"/>
    <w:rsid w:val="00441964"/>
    <w:rsid w:val="004720F4"/>
    <w:rsid w:val="0047451C"/>
    <w:rsid w:val="00477895"/>
    <w:rsid w:val="00490F17"/>
    <w:rsid w:val="004B2657"/>
    <w:rsid w:val="004C365E"/>
    <w:rsid w:val="004C698C"/>
    <w:rsid w:val="004D0859"/>
    <w:rsid w:val="004D31AE"/>
    <w:rsid w:val="005203E9"/>
    <w:rsid w:val="00540047"/>
    <w:rsid w:val="00546DF4"/>
    <w:rsid w:val="005648E4"/>
    <w:rsid w:val="0058443C"/>
    <w:rsid w:val="00584716"/>
    <w:rsid w:val="005A686E"/>
    <w:rsid w:val="005F0E22"/>
    <w:rsid w:val="005F36A4"/>
    <w:rsid w:val="00621665"/>
    <w:rsid w:val="006311A5"/>
    <w:rsid w:val="0063790E"/>
    <w:rsid w:val="00637C43"/>
    <w:rsid w:val="00642665"/>
    <w:rsid w:val="00647BEC"/>
    <w:rsid w:val="00694FAD"/>
    <w:rsid w:val="006A0FE6"/>
    <w:rsid w:val="006A189F"/>
    <w:rsid w:val="006B58AE"/>
    <w:rsid w:val="006E49FE"/>
    <w:rsid w:val="006F2C84"/>
    <w:rsid w:val="007323A9"/>
    <w:rsid w:val="00746A19"/>
    <w:rsid w:val="007510F1"/>
    <w:rsid w:val="00764B79"/>
    <w:rsid w:val="007B720E"/>
    <w:rsid w:val="007F09CD"/>
    <w:rsid w:val="007F2969"/>
    <w:rsid w:val="007F6F4E"/>
    <w:rsid w:val="00807940"/>
    <w:rsid w:val="008241C6"/>
    <w:rsid w:val="00824E1F"/>
    <w:rsid w:val="008313A5"/>
    <w:rsid w:val="00886EC4"/>
    <w:rsid w:val="0089514F"/>
    <w:rsid w:val="008A4E61"/>
    <w:rsid w:val="008B213E"/>
    <w:rsid w:val="008C40BE"/>
    <w:rsid w:val="008D71C1"/>
    <w:rsid w:val="008F47E9"/>
    <w:rsid w:val="008F54B4"/>
    <w:rsid w:val="008F6274"/>
    <w:rsid w:val="00904254"/>
    <w:rsid w:val="009114AF"/>
    <w:rsid w:val="0091166F"/>
    <w:rsid w:val="00911B32"/>
    <w:rsid w:val="00921DA3"/>
    <w:rsid w:val="00927894"/>
    <w:rsid w:val="009348BB"/>
    <w:rsid w:val="009618AB"/>
    <w:rsid w:val="0096684B"/>
    <w:rsid w:val="00970D85"/>
    <w:rsid w:val="00975350"/>
    <w:rsid w:val="00982D36"/>
    <w:rsid w:val="009C1340"/>
    <w:rsid w:val="009C1667"/>
    <w:rsid w:val="009D1DA2"/>
    <w:rsid w:val="00A02096"/>
    <w:rsid w:val="00A12DD3"/>
    <w:rsid w:val="00A36275"/>
    <w:rsid w:val="00A441D0"/>
    <w:rsid w:val="00A50579"/>
    <w:rsid w:val="00A70D22"/>
    <w:rsid w:val="00A728D5"/>
    <w:rsid w:val="00A8642E"/>
    <w:rsid w:val="00A86C61"/>
    <w:rsid w:val="00A9313E"/>
    <w:rsid w:val="00AA21A1"/>
    <w:rsid w:val="00AC61FC"/>
    <w:rsid w:val="00AC6C27"/>
    <w:rsid w:val="00AD401F"/>
    <w:rsid w:val="00AD7E24"/>
    <w:rsid w:val="00AE011D"/>
    <w:rsid w:val="00B03E85"/>
    <w:rsid w:val="00B05D92"/>
    <w:rsid w:val="00B222BE"/>
    <w:rsid w:val="00B74F21"/>
    <w:rsid w:val="00BD66D3"/>
    <w:rsid w:val="00BE61F8"/>
    <w:rsid w:val="00BF212D"/>
    <w:rsid w:val="00BF347F"/>
    <w:rsid w:val="00C02681"/>
    <w:rsid w:val="00C13C07"/>
    <w:rsid w:val="00C30F36"/>
    <w:rsid w:val="00C32E20"/>
    <w:rsid w:val="00C32EC3"/>
    <w:rsid w:val="00C402CB"/>
    <w:rsid w:val="00C41B15"/>
    <w:rsid w:val="00C51582"/>
    <w:rsid w:val="00C6585D"/>
    <w:rsid w:val="00C730B6"/>
    <w:rsid w:val="00CB08A9"/>
    <w:rsid w:val="00CE3122"/>
    <w:rsid w:val="00D031EA"/>
    <w:rsid w:val="00D06D07"/>
    <w:rsid w:val="00D2778E"/>
    <w:rsid w:val="00D40C53"/>
    <w:rsid w:val="00D529FD"/>
    <w:rsid w:val="00D7574B"/>
    <w:rsid w:val="00D91485"/>
    <w:rsid w:val="00DA30A5"/>
    <w:rsid w:val="00DB48FF"/>
    <w:rsid w:val="00DC6723"/>
    <w:rsid w:val="00DD0951"/>
    <w:rsid w:val="00DF64A0"/>
    <w:rsid w:val="00E37077"/>
    <w:rsid w:val="00E655A6"/>
    <w:rsid w:val="00E667FD"/>
    <w:rsid w:val="00EA2D2C"/>
    <w:rsid w:val="00EA644E"/>
    <w:rsid w:val="00EC0FE2"/>
    <w:rsid w:val="00EC3BA1"/>
    <w:rsid w:val="00EC6378"/>
    <w:rsid w:val="00EE069C"/>
    <w:rsid w:val="00EE2073"/>
    <w:rsid w:val="00F04B05"/>
    <w:rsid w:val="00F71EF3"/>
    <w:rsid w:val="00F7398D"/>
    <w:rsid w:val="00F90CE3"/>
    <w:rsid w:val="00F94887"/>
    <w:rsid w:val="00FA4DDA"/>
    <w:rsid w:val="00FA6CF3"/>
    <w:rsid w:val="00FD31EC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66207"/>
  <w15:docId w15:val="{C33214B3-26A7-4FE5-B316-C6FF5B1D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4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98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1166F"/>
    <w:rPr>
      <w:b/>
      <w:bCs/>
    </w:rPr>
  </w:style>
  <w:style w:type="paragraph" w:styleId="ListParagraph">
    <w:name w:val="List Paragraph"/>
    <w:basedOn w:val="Normal"/>
    <w:uiPriority w:val="34"/>
    <w:qFormat/>
    <w:rsid w:val="008A4E6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D4B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4B61"/>
  </w:style>
  <w:style w:type="character" w:styleId="FootnoteReference">
    <w:name w:val="footnote reference"/>
    <w:basedOn w:val="DefaultParagraphFont"/>
    <w:semiHidden/>
    <w:unhideWhenUsed/>
    <w:rsid w:val="002D4B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94BFF-F905-4E58-B73B-EFBE4A3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Urnek Pismo</vt:lpstr>
    </vt:vector>
  </TitlesOfParts>
  <Company>Drzaven zavod za revizija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Urnek Pismo</dc:title>
  <dc:subject>Drzaven zavod za revizija</dc:subject>
  <dc:creator>Administrator DZR</dc:creator>
  <cp:lastModifiedBy>Mijalce Durgutov</cp:lastModifiedBy>
  <cp:revision>29</cp:revision>
  <cp:lastPrinted>2017-02-17T14:14:00Z</cp:lastPrinted>
  <dcterms:created xsi:type="dcterms:W3CDTF">2017-02-16T09:02:00Z</dcterms:created>
  <dcterms:modified xsi:type="dcterms:W3CDTF">2017-02-23T13:13:00Z</dcterms:modified>
</cp:coreProperties>
</file>